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03.04.2019, оставленным без изменения постановлением Первого арбитражного апелляционного суда от 16.07.2019 и постановлением Арбитражного суда Волго-Вятского округа от 26.09.2019, иск удовлетворен. В кассационной жалобе предприниматель просит о пересмотре указанных судебных актов как незаконных вследствие неизвещения о времени и месте судебного разбирательства и несоответствия обстоятельствам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Извещение предпринимателя о начавшемся процессе проверено апелляционным и окружным судами и признано надлежащим. Некачественность поставленного товара выявлена сторонним лицом, для которого обществом приобретался товар. Судебные акты соответствуют статьям 469 , 475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"ЭВМ ТехСервис" (подробнее) Ответчики: ИП Елфимов Виктор Михайлович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