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Мурманской области от 20.05.2019, оставленным без изменения постановлением Тринадцатого арбитражного апелляционного суда от 30.07.2019 и постановлением Арбитражного суда Северо-Западного округа от 16.10.2019, взыскано 70 009 рублей 50 копеек судебных расходов, производство по заявлению в части взыскания 236 000 рублей судебных расходов прекращено на основании пункта 2 части 1 статьи 150 Арбитражного процессуального кодекса Российской Федерации. В кассационной жалобе предприниматель просит об отмене судебных актов в отношении невзысканной части судебных расходов как незаконных вследствие необоснованного снижения расходов и прекращения производства по части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предприниматель уже реализовал свое право на возмещение судебных расходов в размере 236 000 рублей, суды прекратили производство по заявлению в соответствующей части по законному основанию.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 , 106 , 110 Арбитражного процессуального кодекса Российской Федерации и обстоятельствами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предпринимателем в связи с рассмотрением дела, во взысканном размере. Доводы жалобы сводятся к иной оценке обстоятельств несения расходов, не создающей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МУП "СЕВЕРОМОРСКВОДОКАНАЛ" ЗАТО Г. СЕВЕРОМОРСК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