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жалобой на действия финансового управляющего её имуществом ФИО2. Определением Арбитражного суда Челябинской области от 19.04.2019, оставленным без изменения постановлениями Восемнадцатого арбитражного апелляционного суда от 25.06.2019 и Арбитражного суда Уральского округа от 24.09.2019,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её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213.9, 213.25 Федерального закона от 26.10.2002 № 127-ФЗ «О несостоятельности (банкротстве)», указали на соответствие оспариваемых действий финансового управляющего требованиям законодательства о несостоятельности, добросовестности и разумности его поведения, а также недоказанность нарушения прав и имущественных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БАНК "ГПБ-ИПОТЕКА" (подробнее) Межрайонная инспекция Федеральной налоговой службы №16 по Челябинской области (подробнее) Межрайонная инспекция Федеральной налоговой службы №17 по Челябинской области (подробнее) ООО "Чебаркульская птица" (подробнее) ПАО "Челябинвестбанк" (подробнее) Ответчики: Финансовый управляющий Демчук Алексей Валерьевич (подробнее) Иные лица: Некоммерческое партнерство "Центр финансового оздоровления предприятий агропромышленного комплекса"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