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12.02.2019, оставленным без изменения постановлениями Восемнадцатого арбитражного апелляционного суда от 06.05.2019 и Арбитражного суда Уральского округа от 27.08.2019, исковое заявление удовлетворено. В кассационной жалобе, поданной в Верховный Суд Российской Федерации, предприниматель ставит вопрос об отмене принятых по делу судебных актов, ссылаясь на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целях реализации мероприятий муниципальной целевой программы поддержки малого и среднего предпринимательства в Пластовском муниципальном районе на 2013 - 2015 годы между администрацией и предпринимателем заключен договор от 21.11.2013 № 13 (далее - договор) о предоставлении субсидии на возмещение части затрат, связанных с расширением деятельности по направлению «Дополнительный цех по производству хлебобулочных изделий». Платежным поручением от 22.11.2013 № 5191532 денежные средства в размере 350 000 рублей на приобретение оборудования для пекарни перечислены предпринимателю. В ходе проверки администрацией установлено, что предпринимателем нарушено существенное условие договора, а именно подпункт 2.1.1. пункта 2.1. раздела II. Неисполнение уведомления № 1621/АН о необходимости возврата в течение 30 календарных дней денежных средств, полученных предпринимателем в качестве субсидии в размере 350 000 рублей, послужило основанием для обращения администрации в арбитражный суд. Удовлетворяя заявление,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307 , 309 , 310 , 408 , 1102 Гражданского кодекса Российской Федерации, статей 78 , 158 , 269 Бюджетного кодекса Российской Федерации, постановлением администрации Пластовского муниципального района от 28.06.2013 № 465 «Об утверждении Положения о предоставлении субсидии на возмещение части затрат, связанных с расширением деятельности по осуществлению капитальных вложений субъектам малого и среднего предпринимательства в 2013-2015 годах», принимая во внимание условия договора, заключенного между администрацией и предпринимателем, пришли к выводу о наличии оснований для возврата полученной субсидии. При этом судебные инстанции исходили из доказанности факта нарушения предпринимателем условий договора в части не выполнения обязательства о сохранении 18 рабочих мест, уплаты налоговых отчислений не менее 380 000 рублей, а также выплаты среднемесячной заработной платы работникам предпринимателя не менее 7 705 рублей. Приведенные в жалобе доводы направлены на переоценку установленных обстоятельств по делу и представленных в материалы дела доказательств,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Пластовского муниципального района (подробнее) Судьи дела: Антонова М.К.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