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Мурманской области с иском о взыскании с акционерного общества «Ковдорский горно-обогатительный комбинат» 2 477 050 рублей штрафа за превышение грузоподъемности вагонов № 59632448, № 60599479, № 62534037, № 61772158, № 61062063, направленных с грузом железорудного концентрата в адрес Хэйлунцзянской международной торговой компании «Сянлун» (Китайская Народная Республика), и 1 494 830 рублей штрафа за занижение провозной платы вагонов № 60599479, № 61772158, № 61062063. Решением Арбитражного суда Мурманской области от 04.04.2019 иск удовлетворен в части взыскания 2 626 533 рублей штрафа; в удовлетворении иска в остальной части отказано. Постановлением Тринадцатого арбитражного апелляционного суда от 10.07.2019 решение суда первой инстанции оставлено без изменения. Арбитражный суд Северо-Западного округа постановлением от 16.10.2019 указанные судебные акты оставил без изменения. Акционерное общество «Ковдорский горно-обогатительный комбинат»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обстоятельства конкретной перевозки, непредставление ответчиком доказательств того, что выявленные расхождения в массе груза не превысили допустимую погрешность, которая определяется исходя из сложившихся коммерческих обычаев, свойств груза, а также обстоятельств конкретной перевозки, руководствуясь статьями 16, 23 Соглашения о международном железнодорожном грузовом сообщении от 01.11.1951, статьями 785 , 793 Гражданского кодекса Российской Федерации, статьями 26, 27 Федерального закона от 10.01.2003 № 18-ФЗ «Устав железнодорожного транспорта Российской Федерации», Правилами составления актов при перевозках грузов железнодорожным транспортом, утвержденными приказом Министерства путей сообщения Российской Федерации от 18.06.2003 № 45, Рекомендациями МИ 3115-2008, суды пришли к выводу о доказанности фактов искажения сведений о массе груза и превышения грузоподъемности вагона, повлекших занижение провозной платы и влияющих на безопасность движения и эксплуатацию железнодорожного транспорта, признав обоснованным расчет штрафа и применив положения статьи 333 Гражданского кодекса Российской Федерации к неустойке, начисленной за занижение размера провозной платы.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«Ковдорский горно-обогатительный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дороги"" (подробнее) Ответчики: АО "Ковдорский горно-обогатительный комбинат"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