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«Ризар» (далее – общество) обратилось в суд с заявлением о признании обоснованными и включении в третью очередь реестра требований кредиторов должника требований в размере 219 174 203 рублей 82 копеек, в том числе: 149 384 000 рублей основного долга, 69 790 203 рублей 82 копеек – проценты за пользование займом. Определением Арбитражного суда Московской области от 25.03.2019 требования удовлетворены. Постановлением Десятого арбитражного апелляционного суда от 08.07.2019 отменено определение суда первой инстанции от 25.03.2019, отказано в удовлетворении требований. Постановлением Арбитражного суда Московского округа от 01.10.2019 отменено постановление апелляционного суда от 08.07.2019, оставлено в силе определение суда первой инстанции от 25.03.2019. В кассационной жалобе, поданной в Верховный Суд Российской Федерации, заявитель просит отменить указанные судебные акты, направить спор на новое рассмотрение в Арбитражный суд Московской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16, 71 Федерального закона от 26.10.2002 № 127-ФЗ «О несостоятельности (банкротстве)», проверив расчёты заявленных требований, исходил из обоснованности требований общества, основанных на соглашении об уступке права требования от 31.08.2018 № 310818/DREB-RIZ-AVL_(REC), и наличия оснований для включения требований в третью очередь реестра требований кредиторов должника. Суд округа поддержал выводы суда первой инстанции. Выводы судов первой инстанции и округа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«Эквилибриум»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Московская саморегулируемая организация профессиональных арбитражных управляющих (подробнее) ДРЕБУРГ ХОЛДИНГС ЛИМИТЕД (подробнее) ООО "ПСН ПРОПЕРТИ МЕНЕДЖМЕНТ" (подробнее) ООО "РИЗАР" (подробнее) ООО "Эквилибриум" (подробнее) Ответчики: ООО "Авелон"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