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20.02.2019, оставленным без изменения постановлением Девятого арбитражного апелляционного суда от 04.06.2019 и постановлением Арбитражного суда Московского округа от 05.09.2019, первоначальный иск удовлетворен в части взыскания с общества «Рыбинские пассажирские перевозки» 242 593 рублей 63 копеек долга, 28 846 рублей 40 копеек неустойки, 25 000 рублей расходов на услуги представителя; в удовлетворении встречного иска отказано. В кассационной жалобе общество «Рыбинские пассажирские перевозки» просит о пересмотре судебных актов как не соответствующих представленным доказательствам отказа от оплаты оборудования незамедлительно после обнаружения недостатков.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обязали заявителя (заказчика) исполнить обязательство по оплате оборудования по факту принятия и подписания акта выполненных работ, подтверждающих отсутствие претензий, на которые заявитель ссылался в качестве возражений при рассмотрении дела и указывает в доводах кассационной жалобы. Таким образом, судебные акты соответствуют обстоятельствам исполнения договоров от 11.01.2017 № ИТСОТБ/АИИ-121 и от 31.01.2017 № ИТСОТБ/АИИ-120 и статьям 779 , 781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«Рыбинские пассажирские перевозки»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РегионТрансСтрой (подробнее) Ответчики: ООО "Рыбинские пассажирские перевозки"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