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10.04.2019, оставленным без изменения постановлением Десятого арбитражного апелляционного суда от 05.06.2019 и постановлением Арбитражного суда Московского округа от 02.09.2019, иск удовлетворен. В кассационной жалобе учреждение просит об отмене судебных актов как незаконных вследствие соответствия отказа от контракта его условиям и закону.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Суды, исследовав и оценив содержание контракта и обстоятельства его исполнения сторонами, установили отсутствие со стороны общества нарушений контракта от 28.12.2017 № 0348200080417000133, которые могли бы повлечь его расторжение учреждением, поэтому признали отказ неправомерным в соответствии со статьями 450 , 718 , 779 , 781 , 783 Гражданского кодекса Российской Федерации и нормами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Требуемая в жалобе переоценка обстоятельств исполнения контракта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«Московская областная противопожарно-спасательная служба»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"Медикал Групп" (подробнее) Ответчики: государственное казенное учреждение Московской области "Московская областная противопожарно-спасательная служба"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