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21.03.2019, оставленным без изменения постановлением Двадцать первого арбитражного апелляционного суда от 27.05.2019 и постановлением Арбитражного суда Центрального округа от 10.09.2019, иск удовлетворен. В кассационной жалобе МВД России просит о пересмотре судебных актов, ссылаясь на отсутствие условий, необходимых для взыскания убытков, ответственным за которые является фактический хранитель имущества.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об ответственности фактического хранителя за заявленные убытки не влечет пересмотра судебных актов, поскольку хранитель привлечен органом внутренних дел и его действия производны от действий органа об изъятии имущества, накладывающих обязанность по обеспечению сохранности. Суды правомерно признали наличие условий для взыскания заявленной суммы в качестве убытков по правилам статей 15 , 1069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"Аласер" (подробнее) Ответчики: Министерство внутренних дел Российской Федерации (подробнее) Судьи дела: Ксенофонтова Н.А.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