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Пудовкин Андрей Юрьевич обратился в суд с заявлением о признании недействительной сделкой договора от 23.05.2014 купли-продажи нежилого помещения общей площадью 599,4 кв. м, этаж 1, расположенного по адресу: город Тюмень, улица Мельникайте, 71/1, кадастровый номер 72:23:0221001:3936, заключенного между правопредшественником должника – обществом с ограниченной ответственностью «Новые линии» и обществом «Реноме», о применении последствия недействительности сделки в виде возложения на общество «Реноме» обязанности по возвращению имущества в конкурсную массу должника. Определением Арбитражного суда Тюменской области от 09.04.2019, оставленным без изменения постановлениями Восьмого арбитражного апелляционного суда от 12.06.2019 и Арбитражного суда Западно-Сибирского округа от 05.09.2019,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правомерность требований и недействительность указанного договора,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58, 129, 174 и 361 Гражданского кодекса Российской Федерации, позициями, изложенными в пункте 9.1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(далее – постановление № 63),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установив факт отчуждения имущества по многократно заниженной цене при осведомлённости сторон сделки, являющихся заинтересованными лицами, о наличии явного ущерба обществу от её совершения, пришел к выводу о том, что договор является сделкой, совершённой действующим от имени юридического лица без доверенности органом в ущерб интересам юридического лица, при этом другая сторона сделки знала о явном ущербе сделки для должника. Апелляционный суд, руководствуясь позицией, изложенной в пункте 5 постановления № 63, обоснованно опроверг выводы суда первой инстанции о доказанности всей совокупности обстоятельств для признания сделки недействительной на основании положений пункта 2 статьи 61.2 Федерального закона от 26.10.2002 № 127-ФЗ «О несостоятельности (банкротстве)», так как цель причинения вреда кредиторам правопредшественника должника не доказана. Суд округа поддержал выводы суда апелляционной инстанции.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об истечении сроков исковой давности были предметом рассмотрения судов и получили надлежащую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3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«Реноме»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