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упрощенного производства решением Арбитражного суда города Москвы от 06.06.2019 иск удовлетворен. Постановлением Девятого арбитражного апелляционного суда от 02.09.2019 решение отменено, в иске отказано. В кассационной жалобе предприниматель просит об отмене постановления суда апелляционной инстанции, указывая на правомерное начисление процентов за просрочку исполнения денежного обязательства, возникшего на основании судебного акта о взыскании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Отказывая во взыскании процентов за пользование чужими денежными средствами, начисленных на несвоевременно оплаченные проценты, присужденные в другом деле, апелляционный суд правомерно исходил из отсутствия предусмотренных законом оснований для применения сложных процентов (пункт 5 статьи 395 Гражданского кодекса Российской Федерации). Иное толкование заявителем норм права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ОАО "Строительное управление Московского военного округа"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