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08.02.2019, оставленным без изменения постановлением Двенадцатого арбитражного апелляционного суда от 16.04.2019 и постановлением Арбитражного суда Поволжского округа от 28.08.2019, первоначальный иск удовлетворен, в удовлетворении встречного иска отказано. В кассационной жалобе кооператив просит о пересмотре судебных актов как незаконных, ссылаясь на игнорирование его довода о неполучении товара по спорному передаточному документу, фальсификации документа и неисследование доводов встречного иска.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разрешили спор по установленным фактам поставки обществом запчастей и неоплаты их кооперативом, применив к ним статьи 434 , 454 , 455 , 486 , 506 , 516 Гражданского кодекса Российской Федерации, Требуемая в жалобе переоценка двустороннего документа о приеме- передаче товара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«Рассвет»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"СпецТрансИнжиниринг" (подробнее) Ответчики: СПК "Рассвет" (подробнее) Иные лица: ГУ Отдел УВМ МВД России по Саратовской области (подробнее) ОМВД РФ по Краснокутскому району Саратовской области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