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24.12.2018 иск удовлетворен. Постановлением Девятого арбитражного апелляционного суда от 13.06.2019 решение суда первой инстанции изменено в части взыскания суммы задолженности по договору, резолютивная часть изложена в следующей редакции: «Взыскать с общества в пользу компании 2 064 660 руб. задолженности, 32 518 руб. расходов по уплате государственной пошлины. В удовлетворении остальной части исковых требований отказать». Постановлением Арбитражного суда Московского округа от 26.09.2019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установили факт оказания компанией обществу услуг по аренде в рамках заключенного сторонами договора от 01.06.2017 № ТМЛ-58/06. При этом апелляционный суд, учитывая условие договора о том, что при нахождении вагонов в плановых видах ремонтов арендная плата не начисляется и не взимается, установив факт нахождения части вагонов в период с 17.12.2017 по 31.05.2018 в плановом ремонте, пришел к выводу о наличии оснований для уменьшения размера арендной платы, подлежащей взысканию, и, руководствуясь статьями 309 , 310 , 606 , 614 , 779 , 781 Гражданского кодекса Российской Федерации, частично удовлетворил исковые требования, с чем впоследствии согласился суд округа. Доводы кассационной жалобы были предметом рассмотрения судов апелляционной инстанции и округа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«Транс ФИО1»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"ВАГОННАЯ РЕМОНТНАЯ КОМПАНИЯ - 3" (подробнее) Ответчики: ООО ТРАНС МАРИН ЛОДЖИК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