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Мордовия от 28.02.2019 иск оставлен без рассмотрения в связи с несоблюдением досудебного порядка урегулирования спора в отношении привлеченного к участию в деле в качестве соответчика в процессе рассмотрения дела общества «АльфаСтрахование». Постановлением Первого арбитражного апелляционного суда от 25.04.2019 определение отменено, иск направлен на рассмотрение по существу. Арбитражный суд Волго-Вятского округа постановлением от 05.09.2019 постановление апелляционного суда оставил без изменения. В кассационной жалобе общество «АльфаСтрахование» просит о пересмотре судебных актов апелляционного и окружного судов как незаконных вследствие игнорирования недобросовестности истца и лишения возможности добровольного удовлетворения требований.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Вопросы досудебного порядка урегулирования спора не составляют обозначенных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«АльфаСтрахование»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"Группа Ренессанс Страхование" (подробнее) Ответчики: АО "АльфаСтрахование" (подробнее) ООО "Дентро" (подробнее) Иные лица: ООО "Параграфос"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