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 по делу № А40-88672/2019 и одновременно просит о приостановлении их исполнения, ссылаясь на затруднение в связи с тяжелым материальным положением взыскателя поворота исполнения в случае отмены судебных актов. Рассмотрев ходатайство, суд не усматривает обстоятельств,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«ТеплоКров Воронеж» в приостановлении исполнения решения Арбитражного суда города Москвы от 11.06.2019 по делу № А40-88672/2019.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