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29.12.2018, оставленным без изменения постановлением Тринадцатого арбитражного апелляционного суда от 23.04.2019, в удовлетворении заявленного требования отказано. Постановлением Арбитражного суда Северо-Западного округа от 29.08.2019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неисполнения обществом как заказчиком обязанности по получению ордера на производство работ, связанных со складированием материалов при производстве земляных работ. Пунктом 1 статьи 14 Закона № 273-70 предусмотрена ответственность за выполнение производителем работ земляных, ремонтных и отдельных работ, связанных с благоустройством территории Санкт-Петербурга (далее в настоящей статье - работы), без ордера на производство работ, выданного уполномоченным Правительством Санкт-Петербурга исполнительным органом государственной власти Санкт-Петербурга, а также неисполнение заказчиком работ обязанности по получению ордера до начала производства работ при условии фактического выполнения работ. Оценив представленные доказательства, руководствуясь положениями пунктов 3.1.1, 3.1.2 Правил благоустройства территории Санкт-Петербурга в части, касающихся правил производства земляных, ремонтных и отдельных работ, связанных с благоустройством территории Санкт-Петербурга, утвержденных Постановлением Правительства Санкт-Петербурга от 06.10.2016 № 875 суды пришли к выводу о наличии в действиях общества состава административного правонарушения, ответственность за которое установлена пунктом 1 статьи 14 Закона № 273-70. Довод жалобы о том, что акт осмотра территории не отвечает требованиям статьи 27.8 Кодекса Российской Федерации об административных правонарушениях и является недопустимым доказательством, подлежит отклонению в отсутствие доказательств применения такой меры обеспечения производства по делу об административном правонарушении. При этом судами установлено, что допущенные нарушения выявлены в рамках обследования территории, являющейся территорией общего доступа, акт осмотра территории составлен должностным лицом по результатам данного мероприятия. Доказательств невозможности исполнения обществом правил благоустройства в силу чрезвычайных событий и обстоятельств, которые он не мог предвидеть и предотвратить при соблюдении той степени заботливости и осмотрительности, которая от него требовалась как от заказчика работ, на которого возложена обязанность по контролю за выполнением работ, в материалы дела не представлено. Процедура и срок давности привлечения к ответственности соблюдены, штраф назначен в пределах санкции нормы. Суды пришли к выводу об отсутствии в действиях административного органа существенных нарушений процедуры привлечения к административной ответственности.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"ЛУГА СТИЛ" (подробнее) Ответчики: Государственная административно-техническая инспекция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