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21.04.2019, принятым в порядке упрощенного производства и оставленным без изменения постановлением Первого арбитражного апелляционного суда от 02.09.2019, в удовлетворении иска отказано. В кассационной жалобе предприниматель просит об отмене указанных судебных актов как незаконных, ссылаясь на ненадлежащее выполнение страховщиком обязательства по осуществлению страхового возмещения в форме выдачи направления на ремонт.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Предприниматель на свой риск возместил потерпевшей убытки вследствие повреждения транспортного средства, которые в силу пункта 15.2 статьи 12 Федерального закона от 25.04.2002 № 40-ФЗ «Об обязательном страховании гражданской ответственности владельцев транспортных средств» подлежали возмещению обществом «Росгосстрах» посредством организации и (или) оплаты ремонта транспортного средства на станции технического обслуживания, совершившего положенные в целях такого возмещения действия. Установленный законом порядок осуществлении возмещения убытков не может быть изменен договором между предпринимателем и потерпевшим.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Цветнов Виталий Николаевич (подробнее) Ответчики: ПАО "СК РОСГОССТРАХ"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