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06.02.2019 исковые требования удовлетворены. Постановлением Девятого арбитражного апелляционного суда от 11.06.2019, оставленным без изменения постановлением Арбитражного суда Московского округа от 19.09.2019, решение отменено, в удовлетворении иска отказано. В кассационной жалобе общество «ПК «Поли-групп» просит о пересмотре судебных актов апелляционного м окружного судов как незаконных вследствие игнорирования нарушения ответчиком срока поставки.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силу договора от 11.07.2018 № 15/18 срок поставки обусловлен полной предоплатой товара, обязательство по внесению которой общество «ПК «Поли-групп» не исполнило, в связи в чем признано не имеющим права на применение договорной ответственности в силу статьи 406 Гражданского кодекса Российской Федерации и отказ от исполнения договора.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«ПК «Поли-групп»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ПК "Поли-Групп" (подробнее) Ответчики: ООО "ЗАВОД ПОЛИЭТИЛЕНОВЫХ КОНСТРУКЦИЙ"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