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2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«Бразен» удовлетворить. Срок подачи кассационной жалобы на решение Арбитражного суда Московской области от 19.03.2019, постановление Десятого арбитражного апелляционного суда от 07.06.2019 и постановление Арбитражного суда Московского округа от 10.10.2019 по делу № А41-104526/2018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