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жалобой на действия конкурсного управляющего должником ФИО1. Конкурсный управляющий должником Герб А.В. обратился в суд с заявлением об установлении процентов по вознаграждению. Указанные заявления объединены в одно производство для совместного рассмотрения. Определением Арбитражного суда города Москвы от 27.05.2019, оставленным без изменения постановлением Девятого арбитражного апелляционного суда от 07.08.2019, жалоба общества признана необоснованной, установлены проценты по вознаграждению конкурсного управляющего в размере 4 601 096 рублей 08 копеек, отказано в удовлетворении остальной части заявления конкурсного управляющего должником. Постановлением Арбитражного суда Московского округа от 24.10.2019 изменены определение суда первой инстанции от 27.05.2019 и постановление апелляционного суда от 07.08.2019, установлены проценты по вознаграждению конкурсного управляющего должником в размере 6 572 994 рублей 40 копеек. В кассационной жалобе, поданной в Верховный Суд Российской Федерации, заявитель просит отменить указанное постановление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состоявшиеся по спору судебные акты, суд округа, руководствуясь пунктом 7 Положения о порядке и условиях финансирования процедур банкротства отсутствующих должников (утверждено постановлением Правительства Российской Федерации от 21.10.2004 № 573, далее – Положение № 573, позицией, изложенной в пункте 16 Обзора судебной практики Верховного Суда Российской Федерации № 4 (2017), утверждённом Президиумом Верховного Суда Российской Федерации 15.11.2017, исходил из того, что соблюдение интересов конкурсной массы, выразившееся в отказе от реализации имущества с целью получения наибольшего имущественного эффекта, не должно приводить к лишению конкурсного управляющего права на получение процентов по вознаграждению. Обратный подход к толкованию пункта 7 Положения № 573 мог бы спровоцировать злоупотребления со стороны конкурсных управляющих, стимулируя их к реализации дебиторской задолженности в условиях, когда такая продажа для должника экономически нецелесообразна.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Содержащиеся в нём выводы соответствуют нормам права, оснований для переоценки этих выводов не имеется.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«Нордстрой»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Департамент городского имущества города Москвы (подробнее) КОРПОРАЦИЯ РАЗВИТИЯ ТЕРРИТОРИЙ (подробнее) ООО "Нордстрой" (подробнее) ООО ОБСЛУЖИВАНИЕ КОМПЛЕКСНЫХ СИСТЕМ " (подробнее) Ответчики: Общество с ограниченной ответственностью "Новая Ливадия" (подробнее) ООО "Новая Ливадия" (подробнее) Иные лица: НП "СОАУ "Меркурий"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