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декабря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Арбитражного суда Челябинской области от 29.01.2019, оставленным без изменения постановлением Восемнадцатого арбитражного апелляционного суда от 29.04.2019, в удовлетворении иска отказано. Арбитражный суд Уральского округа постановлением от 04.09.2019 решение от 29.01.2019 и постановление Восемнадцатого арбитражного апелляционного суда от 29.04.2019 оставил без изменения. В кассационной жалобе компания просит об отмене судебных актов как незаконных, ссылаясь на отсутствие у банка примененного правомочия на правовую оценку приложенных к требованию о платеже по гарантии документов. В силу части 1 статьи 291.11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Отказ банком в платеже по гарантии по основанию, связанному с правовой оценкой приложенных к требованию документов, опровергается установленными судами обстоятельствами. Руководствуясь статьями 291.6 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«Агро-промышленная компания «Агро-2000»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 Суд: Верховный Суд РФ (подробнее) Истцы: ООО "АГРО - ПРОМЫШЛЕННАЯ КОМПАНИЯ "АГРО - 2000" (подробнее) Ответчики: ПАО АКЦИОНЕРНЫЙ ЧЕЛЯБИНСКИЙ ИНВЕСТИЦИОННЫЙ БАНК "ЧЕЛЯБИНВЕСТБАНК" (подробнее) Судьи дела: Ксенофонтова Н.А.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