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06.02.2019, оставленным без изменения постановлением Двадцатого арбитражного апелляционного суда от 20.06.2019 и постановлением Арбитражного суда Центрального округа от 13.09.2019, в иске отказано. В кассационной жалобе общество просит об отмене указанных судебных актов как незаконных вследствие игнорирования доказательств фактического осуществления перевозки предпринимателем.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отсутствие договорных отношений между обществом и предпринимателем по поводу спорной перевозки суды правомерно оценили и признали влекущими правовые последствия транспортную накладную от 20.10.2017, путевой лист 14/10, договор-заявку № 056, истребованные материалы уголовного дела, из содержания которых следуют иные, в сравнении с указанными обществом, заказчик перевозки, маршрут перевозки, собственно перевозчик. В указанной ситуации основания для ответственности предпринимателя не доказаны.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«ИЛЕКО»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"Илеко"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