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«Производственная компания «Конструктив» удовлетворить. Срок подачи кассационной жалобы на определение Семнадцатого арбитражного апелляционного суда от 11.07.2019 и постановление Арбитражного суда Уральского округа от 03.09.2019 по делу № А60-74244/2018 Арбитражного суда Свердловской области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