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06.03.2019, оставленным без изменения постановлением Седьмого арбитражного апелляционного суда от 04.06.2019 и постановлением Арбитражного суда Западно-Сибирского округа от 12.09.2019, в удовлетворении иска отказано. В кассационной жалобе компания просит судебные акты отменить вследствие нарушения пределов рассмотрения дела исследованием неотносимых доказательств и созданием преюдиции, игнорирования права на удержание груза в обеспечение внесения причитающихся за перевозку платежей.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компании об исследовании неотносимых к предмету иска доказательств неоснователен, поскольку эти доказательства оценены судами в связи с возражениями ответчика, должного в силу статьи 65 Арбитражного процессуального кодекса Российской Федерации обосновывать возражения. Суды признали возражения ответчика против иска компании доказанными, поэтому в иске отказали.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компания «РостАвто»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"РостАвто" (подробнее) Ответчики: ООО "СтройКедр"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