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ходатайством об исключении из конкурсной массы следующего имущества: жилого дома общей площадью 726,1 кв.м с кадастровым номером 56:44:0201011:352 и земельного участка общей площадью 991 кв.м с кадастровым номером 56:44:0201011:129, расположенного по адресу: г. Оренбург, п. Ростоши, ул. Дальнореченская д. 1. Определением Арбитражного суда Оренбургской области от 16.03.2019, оставленным без изменения постановлениями Восемнадцатого арбитражного апелляционного суда от 26.06.2019 и Арбитражного суда Уральского округа от 23.10.2019, ходатайство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Исключая имущество из конкурсной массы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213.1, 213.25, 213.26 Федерального закона от 26.10.2002 № 127-ФЗ «О несостоятельности (банкротстве), статьями 34, 35, 36, 45 Семейного кодекса Российской Федерации, статьями 1, 35 Земельного кодекса Российской Федерации, указали, что на него не распространяется режим совместной собственности ввиду получения имущества в дар супругой должника по безвозмездной и никем не оспоренной сделке, в связи с чем, на рассматриваемое имущество не может быть обращено взыскание по требованиям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«ТрансКом»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