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08.07.2019, оставленным без изменения постановлением Девятого арбитражного апелляционного суда от 06.08.2019 и постановлением Арбитражного суда Московского округа от 01.10.2019, производство по делу прекращено на основании пункта 2 части 1 статьи 150 Арбитражного процессуального кодекса Российской Федерации. В кассационной жалобе общество просит об отмене судебных актов как незаконных, ссылаясь на отсутствие тождества предмета и основания ранее рассмотренного и данного дел.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Судом установлено, что ранее в рамках дела № А40-32378/2018 Арбитражного суда города Москвы разрешен спор о том же предмете и по тем же основаниям, по которым заявлен рассматриваемый иск. Таким образом, настоящее дело прекращено по законному основанию.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«Коммуникационные радиосистемы»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"КОММУНИКАЦИОННЫЕ РАДИОСИСТЕМЫ" (подробнее) Ответчики: Федеральная служба судебных приставов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