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«Восток Морнефтегаз» обратилось в суд с иском о взыскании с общества с ограниченной ответственностью «Маритайм Ассистанс» (далее – лизингодатель) неосновательного обогащения по договорам лизинга от 30.09.2014 № SM91L-14-01-UF в размере 3 664 998 рублей 65 копеек, № SM91L-14-02-UF в размере 4 494 075 рублей 09 копеек, № SM91L-14-03-UF в размере 2 694 812 рублей 63 копейки, № SM91L-14-04-UF в размере 1 727 832 рублей 07 копеек и № SM91L-15-01 в размере 18 294 767 рублей 71 копеек. Решением Арбитражного суда города Москвы от 07.05.2019, оставленным без изменения постановлениями Девятого арбитражного апелляционного суда от 22.07.2019 и Арбитражного суда Московского округа от 09.10.2019, с общества «Маритайм Ассистанс» в пользу общества «Восток Морнефтегаз» взыскано неосновательное обогащение по договорам лизинга от 30.09.2014 № SM91L-14-01-UF в размере 63 478 рублей 17 копеек, № SM91L-14-03-UF в размере 714 667 рублей 54 копеек и государственная пошлина в размере 18 563 рублей.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Оценив представленные в материалы дела доказательства в порядке статьи 71 Арбитражного процессуального кодекса Российской Федерации, руководствуясь статями 15 , 393 , 431 , 614 , 624 , 665 , 1102 Гражданского кодекса Российской Федерации, разъяснениями, приведёнными в постановлениях Пленума Высшего Арбитражного Суда Российской Федерации от 16.12.2013 № 88 «О начислении процентов по требованиям кредиторов при банкротстве» и от 14.03.2014 № 17 «Об отдельных вопросах, связанных с договором выкупного лизинга», проверив и сопоставив расчёты сальдо встречных обязательств сторон, проанализировав условия договоров лизинга, суды пришли к выводам о частичном удовлетворении иска. Выводы судов соответствуют нормам права, оснований для переоценки выводов судов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изложенные в настоящей жалобе,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«Восток Морнефтегаз»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"ВОСТОК МОРНЕФТЕГАЗ" (подробнее) Ответчики: ООО "Маритайм Ассистанс" (подробнее) Судьи дела: Корнелюк Е.С. (судья) (подробнее) Судебная практика по: Упущенная выгода Судебная практика по применению норм ст. 15, 393 ГК РФ Неосновательное обогащение, взыскание неосновательного обогащения Судебная практика по применению нормы ст. 1102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