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требования в размере 1 300 000 рублей. Определением Арбитражного суда города Санкт-Петербурга и Ленинградской области от 01.03.2019, оставленным без изменения постановлениями Тринадцатого арбитражного апелляционного суда от 05.07.2019 и Арбитражного суда Северо-Западного округа от 02.10.2019,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702, 711, 740, 746 Гражданского кодекса Российской Федерации, статьями 19,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дело банкротстве», исходили из того, что компания является заинтересованным по отношению к должнику лицом в силу наличия между ними устойчивых внутригрупповых связей и общности хозяйственных интересов; заявляя настоящие требования, она действует недобросовестно во вред интересам независимых кредиторов, намереваясь создать искусственную кредиторскую задолженность с целью получения контроля над процедурой банкротства собственного структурного подразделения.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строительная компания «Ремпуть»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