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27.02.2018, оставленным без изменения постановлением Девятого арбитражного апелляционного суда от 14.06.2019 и постановлением Арбитражного суда Московского округа от 03.09.2019,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общества за период с 01.01.2013 по 31.12.2014, по результатам составлен акт и вынесено решение о доначислении 45 928 040 рублей налога на прибыль и 31 208 885 рублей налога на добавленную стоимость (далее – НДС), начислении 25 274 687 рублей 01 копейки пеней и 25 170 268 рублей штрафов по пункту 1 статьи 122 , статье 123 Налогового кодекса Российской Федерации (далее – Налоговый кодекс). Основанием для принятия решения послужили выводы налогового органа о занижении обществом налоговой базы в связи с неправомерным включением в состав расходов по налогу на прибыль затрат на оплату строительно-монтажных работ по договорам подряда, заключенным с ООО «СтройПроектСервис» и ООО «КАСКАД-К.», а также о необоснованном применении налоговых вычетов по НДС на основании документов, выставленных от имени указанных контрагентов. Оценив представленные в материалы дела доказательства, суды, руководствуясь положениями статей 169 , 171 , 172 , 247 , 252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доказанности налоговым органом совокупности обстоятельств, свидетельствующих о направленности действий общества на получение из бюджета необоснованной налоговой выгоды в отсутствие реальных хозяйственных операций с заявленными контрагентами. Судебные инстанции исходили из того, что представленные обществом первичные документы составлены формально и не подтверждают реального совершения хозяйственных операций со спорными контрагентами, которые обладают признаками номинальных организаций и не могли исполнить предусмотренные договорами обязательства, в том числе путем привлечения иных лиц. При этом фактически строительно-монтажные работы осуществлялись силами самого общества, располагающего в отличие от своих контрагентов необходимыми материальными и трудовыми ресурсами.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 по делу. По существу доводы жалобы не подтверждают существенных нарушений норм материального и процессуального права, повлиявших на исход дела, выражают несогласие с установленными судами фактическими обстоятельствами и направлены на переоценку представленных в материалы дела доказательств, что в силу статьи 291.6 Арбитражного процессуального кодекса Российской Федерации не может служить основанием для отмены судебных актов в кассационном порядке. Поскольку в передаче жалобы для рассмотрения в судебном заседании Судебной коллегии Верховного Суда Российской Федерации отказано, заявленное обществом в просительной части кассационной жалобы ходатайство о приостановлении исполнения решения суда не подлежит рассмотрению.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«Каскад-К»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"КАСКАД-К" (подробнее) Ответчики: ифнс №34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