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27.06.2019, оставленным без изменения постановлением Пятого арбитражного 2 апелляционного суда 28.08.2019, в удовлетворении заявленного требования отказано. Общество обратилось в Верховный Суд Российской Федерации с кассационной жалобой, в которой просит названные судебные акты отменить, ссылаясь на допущенные судом существенные нарушения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 установленный таможенным органом факт несоблюдения обществом запретов и ограничений на ввоз товара. Статьей 16.3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3 Российской Федерации, за исключением случаев, предусмотренных частью 3 статьи 16.2 настоящего Кодекса. Оценив представленные доказательства и установив отсутствие доказательств, подтверждающих, что декларируемые товары ввезены для собственных (производственных) целей, отчуждаться и передаваться третьим лицам на территории Российской Федерации не будут, а также о том, что они будут вывезены с таможенной территории Таможенного союза в определенные сроки, руководствуясь положениями Таможенного кодекса Евразийского экономического союза, Технического регламента Таможенного союза ТР ТС 017/2011 «О безопасности продукции легкой промышленности», Положения о порядке ввоза на таможенную территорию ЕАЭС продукции (товаров), в отношении которой устанавливаются обязательные требования в рамках ЕАЭС, утвержденного решением Коллегии Евразийской экономической комиссии от 25.12.2012 № 294, суды пришли к выводу о наличии в действиях общества состава правонарушения, ответственность за совершение которого предусмотрена статьей 16.3 Кодекса Российской Федерации об административных правонарушениях. При этом суды исходили из того, что необходимым условием при декларировании ввезенных товаров является наличие разрешительного документа, подтверждающего соблюдение запретов и ограничений, мер защиты внутреннего рынка, который обществом при декларировании представлен не был. Общество имело возможность для выполнения возложенных на него обязанностей по соблюдению требований таможенного законодательства в части представления при подаче декларации на товары сведений, каких-либо объективных препятствий к соблюдению требований таможенного законодательства судами не установлено. Нарушений процедуры проведения проверки и привлечения общества к административной ответственности суды не установили. 4 Доводы жалобы были предметом исследования судов и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