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корпорация обратилась в суд с заявлением о включении в реестр требований кредиторов должника 133 890 000 рублей задолженности, неустойки и процентов за пользование чужими денежными средствами. Определением Арбитражного суда города Санкт-Петербурга и Ленинградской области от 09.04.2019, оставленным без изменения постановлениями Тринадцатого арбитражного апелляционного суда от 17.06.2019 и Арбитражного суда Северо-Западного округа от 24.10.2019, ходатайство о восстановлении пропущенного срока отклонено; требования корпорации в заявленном размере признаны подлежащими удовлетворению за счёт имущества должника, оставшегося после удовлетворения реестровых требований кредиторов. В кассационной жалобе, поданной в Верховный Суд Российской Федерации, заявитель просит изменить указанные судебные акты, включив заявленные требования в третью очередь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 руководствовались положениями статьей 16, 71, 100, 142 Федерального закона от 26.10.2002 № 127-ФЗ «О несостоятельности (банкротстве)», абзаца второго пункта 3 информационного письма Президиума Высшего Арбитражного Суда Российской Федерации от 26.07.2005 № 93 «О некоторых вопросах, связанных с исчислением отдельных сроков по делам о банкротстве», и исходили из того, что требования корпорации заявлены после закрытия реестра, а уважительных причин для восстановления срока на их включение в реестр заявителю, не представившему неопровержимых доказательств своевременного обращения в арбитражный суд, не имеется.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Производственная Нано Технологическая Индустриальная Корпорация О.С.М.»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