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Каплунов Я.А. обратился в суд с заявлением о включении в реестр требований о передаче жилых помещений его требования о передаче жилого помещения – двухкомнатной квартиры, продаваемой площадью по проекту 53,8 кв. м, № 4 на площадке, на 4 этаже многоэтажного жилого дома № 7, расположенного по адресу: Московская область, город Ступино, микрорайон «Центральный» пересечение улиц Андропова, Горького, Куйбышева и Маяковского (2-й этап строительства) - 1-я очередь строительства. Определением Арбитражного суда Московской области от 26.10.2018, оставленным без изменения постановлениями Десятого арбитражного апелляционного суда от 24.04.2019 и Арбитражного суда Московского округа от 27.08.2019,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16, 201.1, 201.4, 201.6 Федерального закона от 26.10.2002 № 127-ФЗ «О несостоятельности (банкротстве)», исходили из недоказанности оплаты инвестиционного взноса непосредственным участником строительства, а равно как и оплаты уступленного заявителю права требования к должнику, в связи с чем, отказали в удовлетворении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Каплуну Якову Анатольевичу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