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обратился в суд с жалобой на действия (бездействие) конкурсного управляющего должником ФИО1, выразившиеся в предоставлении собранию кредиторов недостоверных сведений о расходах и ведении реестра требований кредиторов с нарушениями требований приказа Минэкономразвития РФ № 233 от 01.09.2004. Определением Арбитражного суда Рязанской области от 16.04.2019, оставленным без изменения постановлениями Двадцатого арбитражного апелляционного суда от 18.07.2019 и Арбитражного суда Центрального округа от 02.10.2019, жалоба оставлена без удовлетворения.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16, 20.3, 60, 126, 137 Федерального закона от 26.10.2002 № 127-ФЗ «О несостоятельности (банкротстве)», исходили из отсутствия достаточных оснований для признания незаконными оспариваемых действий (бездействия) конкурсного управляющего должником, доказательств причинения конкурсному кредитору убытков или нарушения его прав выявленными отклонениями при составлении реестра требований кредиторов должника, носящими технический, малозначительный и устранимый характер.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«Рязанские рассветы»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"ЖЭУ-6" (подробнее) Ответчики: ООО "Городская управляющая жилищная компания Московского района города Рязани" (подробнее) Иные лица: Главный судебный пристав Рязанской области (подробнее) Межрайонная ИФНС №1 по Рязанской области (подробнее) Московский районный суд г.Рязани (подробнее) НП МСРО ПАУ "Альянс управляющих" (подробнее) ООО к/у "ГУЖК Московского района г. Рязани" Хачатурян М.Н. (подробнее) ООО "МКБ им. С. Живаго" (подробнее) ООО "Рязанские рассветы" (подробнее) Рязанское отделениме Сбербанка России (подробнее) Управление Федеральной службы государственной регистрации, кадастра и картографии по Рязанской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