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учреждение 24.10.2019 обратилось в Верховный Суд Российской Федерации с кассационной жалобой на вышеуказанный судебный акт, поданной в электронном виде, одновременно заявив ходатайство о восстановлении пропущенного процессуального срока.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Центрального округа от 15.08.2019,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заявителю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муниципального бюджетного общеобразовательного учреждения «Школа № 12 г. Феодосии Республики Крым»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МУНИЦИПАЛЬНОЕ БЮДЖЕТНОЕ ОБЩЕОБРАЗОВАТЕЛЬНОЕ УЧРЕЖДЕНИЕ "ШКОЛА №12 Г.ФЕОДОСИИ РЕСПУБЛИКИ КРЫМ" (подробнее) Ответчики: УПРАВЛЕНИЕ ФЕДЕРАЛЬНОЙ АНТИМОНОПОЛЬНОЙ СЛУЖБЫ ПО РЕСПУБЛИКЕ КРЫМ И ГОРОДУ СЕВАСТОПОЛЮ (подробнее) Судьи дела: Антонова М.К. (судья) (подробнее) Последние документы по делу: Определение от 24 декабря 2019 г. по делу № А83-9068/2018 Определение от 30 октября 2019 г. по делу № А83-9068/2018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