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28.02.2019, оставленным без изменения постановлением Пятнадцатого арбитражного апелляционного суда от 30.04.2019 и постановлением Арбитражного суда Северо-Кавказского округа от 05.09.2019, в удовлетворении иска отказано. В кассационной жалобе, поданной в Верховный Суд Российской Федерации, учреждение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Исковые требования мотивированы наличием у предприятия (генподрядчика) задолженности за выполненные учреждением (субподрядчиком) работы в рамках договора субподряда № 120815/СП в редакции дополнительного соглашения (далее – договор).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199 , 200 , 202 , 702 , 711 Гражданского кодекса Российской Федерации,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пришли к выводу об отсутствии оснований для удовлетворения иска ввиду пропуска учреждением срока исковой давности, о чем было заявлено предприятием. При этом апелляционный суд указал, что выполненные работы подлежали оплате до 13.11.2015 (пункт 3.2 договора), соответственно с 14.11.2015 наступила просрочка исполнения обязательства и начал течь срок исковой давности; с учетом приостановления течения срока исковой давности на семнадцать дней в связи с соблюдением претензионного порядка (пункт 10.2 договора) трехгодичный срок исковой давности истек 30.11.2018, однако исковое заявление по настоящему делу подано учреждением 04.12.2018, то есть за пределами этого срока. С указанными выводами впоследствии согласился суд округа.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автономного учреждения «Российский дорожный научно-исследовательский институт»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ФАУ "РОСДОРНИИ" (подробнее) ФЕДЕРАЛЬНОЕ АВТОНОМНОЕ УЧРЕЖДЕНИЕ "РОССИЙСКИЙ ДОРОЖНЫЙ НАУЧНО-ИССЛЕДОВАТЕЛЬСКИЙ ИНСТИТУТ" (подробнее) Ответчики: ГУП РОСТОВСКОЙ ОБЛАСТИ "РОСТОВАВТОДОР" (подробнее) Судьи дела: Чучунова Н.С. (судья) (подробнее) Судебная практика по: По договору подряда Судебная практика по применению норм ст. 702, 703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