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270 393 364 рублей основного долга и 252 138 864 рублей 43 копеек процентов за пользование займом. Определением Арбитражного суда Краснодарского края от 01.11.2018, оставленным без изменения постановлением Пятнадцатого арбитражного апелляционного суда от 16.07.2019, заявление удовлетворено. Постановлением Арбитражного суда Северо-Кавказского округа от 27.09.2019 вышеуказанные судебные акты отменены, в удовлетворении требований общества отказано.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Отменяя принятые по спору судебные акты, суд округа, руководствуясь статьёй 10 Гражданского кодекса Российской Федерации, статьями 71, 100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указал на создание заинтересованными лицами подконтрольной кредиторской задолженности с целью уменьшения количества голосов, приходящихся на долю независимых кредиторов при банкротстве каждого из участников группы, в связи с чем, отказал обществу в удовлетворении его требований как основанных на обеспечительной сделке, заключенной со злоупотреблением правом.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«ИПСУС»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