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Каплунов Я.А. обратился в суд с заявлением о включении в реестр требований о передаче жилых помещений его требования о передаче жилого помещения – однокомнатной квартиры, продаваемой площадью по проекту 42,4 кв.м., № 8 на площадке, на 10 этаже многоэтажного жилого дома № 7, расположенного по адресу: Московская область, город Ступино, микрорайон «Центральный», пересечение улиц Андропова, Горького, Куйбышева и Маяковского (2-й этап строительства) -1-я очередь строительства. Определением Арбитражного суда Московской области от 26.10.2018, оставленным без изменения постановлениями Десятого арбитражного апелляционного суда от 05.06.2019 и Арбитражного суда Московского округа от 29.08.2019,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16, 201.1, 201.4, 201.6 Федерального закона от 26.10.2002 № 127-ФЗ «О несостоятельности (банкротстве)», исходили из недоказанности оплаты инвестиционного взноса непосредственным участником строительства, а равно как и оплаты уступленного заявителю права требования к должнику, в связи с чем,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Каплуну Якову Анатольевичу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