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«Регион «ТРЦ» (далее – арендодатель) обратилось в суд с иском к арендатору о взыскании задолженности по договору № Р20075 долгосрочной аренды нежилого помещения от 20.03.2014 с дополнительным соглашением № 2 от 01.12.2016 за период июнь – июль 2018 года в размере 447 698 рублей 19 копеек, пени за период с 26.06.2018 по 29.08.2018 в сумме 158 330 рублей 61 копейки и штрафа, предусмотренного условиями дополнительного соглашения от 01.12.2016 № 2, в размере 16 366 072 рублей 57 копеек. Решением Арбитражного суда Брянской области от 06.02.2019, оставленным без изменения постановлениями Двадцатого арбитражного апелляционного суда от 28.05.2019 и Арбитражного суда Центрального округа от 10.09.2019, иск удовлетворён частично. С арендатора в пользу арендодателя взыскано 447 698 рублей 19 копеек задолженности, 21 218 рублей 42 копейки пени и 3 723 514 рублей 65 копеек штрафа, в удовлетворении остальной части исковых требований отказано. В кассационной жалобе, поданной в Верховный Суд Российской Федерации, заявитель просит отменить указанные судебные акты в части взыскания штрафа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иск в обжалуемой части, суд первой инстанции, руководствуясь статьями 330 , 333 , 431 , 450.1 Гражданского кодекса Российской Федерации, статьями 5, 126, 134 Федерального закона от 26.10.2002 № 127-ФЗ «О несостоятельности (банкротстве)», пунктами 11,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исходил из того, что обязательство арендатора по уплате штрафа возникло после принятия судом заявления о признании последнего банкротом, в связи с чем, отнёс требование арендодателя к текущим платежам, при этом снизил сумму штрафа, признав её несоразмерной последствиям неисполнения обязательства, в том числе, поскольку та нарушает права должника и его кредиторов за счёт получения истцом необоснованной выгоды. Суды апелляционной инстанции и округа согласились с указанными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«КиноПром»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 Регион ТРЦ" (подробнее) Ответчики: ООО "КиноПром" (подробнее) ООО к/у "КиноПром" Пронюшкин Д.Ю. (подробнее) Судьи дела: Корнелюк Е.С.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