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корпорация обратилась в суд с заявлением о включении в реестр требований кредиторов должника 184 703 258 рублей задолженности, неустойки и процентов за пользование чужими денежными средствами. Определением Арбитражного суда города Санкт-Петербурга и Ленинградской области от 09.04.2019, оставленным без изменения постановлениями Тринадцатого арбитражного апелляционного суда от 20.06.2019 и Арбитражного суда Северо-Западного округа от 24.10.2019, ходатайство о восстановлении пропущенного срока отклонено; требования корпорации в заявленном размере признаны подлежащими удовлетворению за счёт имущества должника, оставшегося после удовлетворения реестровых требований кредиторов. В кассационной жалобе, поданной в Верховный Суд Российской Федерации, заявитель просит изменить указанные судебные акты, включив заявленные требования в третью очередь реестра.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 руководствовались положениями статьей 16, 71, 100, 142 Федерального закона от 26.10.2002 № 127-ФЗ «О несостоятельности (банкротстве)», абзаца второго пункта 3 информационного письма Президиума Высшего Арбитражного Суда Российской Федерации от 26.07.2005 № 93 «О некоторых вопросах, связанных с исчислением отдельных сроков по делам о банкротстве», и исходили из того, что требования корпорации заявлены после закрытия реестра, а уважительных причин для восстановления срока на их включение в реестр заявителю, не представившему неопровержимых доказательств своевременного обращения в арбитражный суд, не имеется.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«Научно- Производственная Нано Технологическая Индустриальная Корпорация О.С.М.»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