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13.11.2018, оставленным без изменения постановлением Двадцать первого арбитражного апелляционного суда от 24.04.2019 и постановлением Арбитражного суда Центрального округа от 04.09.2019, иск удовлетворен. В кассационной жалобе, поданной в Верховный Суд Российской Федерации, предприятие,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руководствовались положениями статей 538 , 692 , 693 , 712 Гражданского кодекса Украины, статей 309 , 310 , 454 , 455 , 486 , 506 , 516 Гражданского кодекса Российской Федерации и исходили подтвержденности факта поставки товара ответчику и отсутствия доказательств его полной оплаты. Доводы заявителя о пропуске срока исковой давности по поставкам, состоявшимся до октября 2015 года, были предметом рассмотрения судов и получили соответствующую правовую оценку.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«Приморское Племпредприятие»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"Антей" (подробнее) Ответчики: АО "ПРИМОРСКОЕ ПЛЕМПРЕДПРИЯТИЕ" (подробнее) Судьи дела: Чучунова Н.С.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