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ФИО2 и ФИО3 об истребовании документов должника. Определением Арбитражного суда Республики Татарстан от 11.03.2019, оставленным без изменения постановлениями Одиннадцатого арбитражного апелляционного суда от 23.05.2019 и Арбитражного суда Поволжского округа от 19.08.2019, заявление удовлетворено в части обязания ФИО2 передать конкурсному управляющему должником имущество, материальные и иные ценности, бухгалтерскую и иную документацию, печати и штампы должника, в случае неисполнения судебного акта в течение семи календарных дней с момента вступления его в законную силу взыскании с ФИО2 в конкурсную массу должника судебную неустойку в размере 500 рублей за каждый день просрочки до момента фактического исполнения судебного акта, но не более 500 000 руб.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его требований к ФИО3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126 Федерального закона от 26.10.2002 № 127-ФЗ «О несостоятельности (банкротстве)», разъяснениями, приведёнными в пункте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доказательств нахождения у ФИО3, исполнявшего обязанность директора должника и выведенного из состава участников последнего на дату конкурсного производства, истребуемых заявителем документов и материальных ценностей.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«Солид Консалт»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