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28.01.2019, оставленным без изменения постановлением Девятнадцатого арбитражного апелляционного суда от 25.04.2019, в удовлетворении иска отказано по мотиву недоказанности исполнения предпринимателем функций перевозчика, Арбитражный суд Центрального округа постановлением от 03.09.2019 решение от 28.01.2019 и постановление Девятнадцатого арбитражного апелляционного суда от 25.04.2019 оставил без изменения. В кассационной жалобе общество просит об отмене указанных судебных актов, ссылаясь на фактическое осуществление перевозки от имени и по поручению предпринимателя.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 рамках заключенного сторонами договора перевозки от 26.09.2016 стороны согласовали передачу обществом (заказчиком) заявки курьерской почтой либо факсимильной или электронной связью на конкретный адрес электронной почты перевозчика (предпринимателя). Общество направило заявку на спорную перевозку по другому электронному адресу; груз приняло к перевозке и утратило другое лицо. Довод общества о принятии груза от имени и по поручению предпринимателя опровергается установленными обстоятельствами. Вопросы доказывания и оценки доказательств, на которых основаны доводы жалобы, не составляю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«РЕНЕССАНС МАРКЕТ»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