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26.02.2019, оставленным без изменения постановлением Девятого арбитражного апелляционного суда от 04.06.2019 и постановлением Арбитражного суда Московского округа от 16.09.2019, исковые требования удовлетворены. В кассационной жалобе, поданной в Верховный Суд Российской Федерации, общество, просит отменить указанные судебные акты, ссылаясь на нарушение судами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исковые требования предпринимателя, получившего право требования взыскания денежных средств на основании договора цессии с участником долевого строительства, суды руководствовались положениями статей 309 , 310 , 330 , 384 Гражданского кодекса Российской Федерации,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Закона Российской Федерации от 07.02.1992 № 2300-1 «О защите прав потребителей» и исходили из подтвержденности факта нарушения обществом срока передачи объекта долевого строительства. Доводы кассационной жалобы не подтверждают существенных нарушений судами норм права, повлиявших на исход дела,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«СК ДОНСТРОЙ»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