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 включении в реестр требований кредиторов должника 4 000 000 рублей долга, 477 972 рублей 60 копеек процентов за пользование займом и 119 600 рублей пени. Определением Арбитражного суда Республики Башкортостан от 29.03.2019 заявление удовлетворено. Постановлением Восемнадцатого арбитражного апелляционного суда от 03.06.2019, оставленным без изменения постановлением Арбитражного суда Уральского округа от 28.08.2019,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апелляционный суд,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10 , 63 , 170 , 807 , 808 Гражданского кодекса Российской Федерации, статьями 2, 16, 71, 100, 148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заявленное требование заинтересованного с должником займодавца, создавших формальный перевод денежных средств для увеличения кредиторской задолженности, вытекает из факта участия, носит корпоративный характер, в связи с чем, не подлежит включению в реестр наравне с требованиями иных кредиторов.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