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Пермского края от 11.02.2019, оставленным без изменения постановлением Семнадцатого арбитражного апелляционного суда от 25.04.2019 и постановлением Арбитражного суда Уральского округа от 29.08.2019, в удовлетворении заявленных требований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требования.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оспоренными решениями, принятыми по результатам камеральных налоговых проверок налоговых деклараций по налогу на имущество за 2016 (уточненная) и 2017 годы, обществу доначислено 36 707 646 рублей и 36 993 174 рубля налога, начислены соответствующие суммы пеней и штрафов по пункту 1 статьи 122 Налогового кодекса (далее – Налоговый кодекс). Основанием для доначисления налога на имущество, начисления пеней и штрафов послужил вывод налогового органа о неправомерном применении налоговой льготы, предусмотренной пунктом 21 статьи 381 Налогового кодекса, в отношении принадлежащего обществу законченного объекта капитального строительства, не относящегося к категории многоквартирных жилых домов. Считая решения инспекции незаконными, общество обратилось в арбитражный суд. Оценив представленные в материалы дела доказательства, суды, руководствуясь положениями статей 372 - 376 , 381 Налогового кодекса, статей 6, 10, 12 Федерального закона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Требованиями к правилам определения класса энергетической эффективности многоквартирных домов, утвержденными постановлением Правительства Российской Федерации от 25.01.2011 № 18, пришли к выводу о законности решений инспекции ввиду доказанности отсутствия правовых оснований для применения налоговой льготы в отношении принадлежащего обществу объекта имущества. Судебные инстанции исходили из того, что спорная льгота имеет целевое назначение (стимулирование использования современного энергоэффективного оборудования, повышение энергетической эффективности жилой недвижимости) и не предназначена для объектов коммерческой недвижимости. Вместе с тем принадлежащий обществу объект недвижимости, несмотря на наличие энергетического паспорта, указывающего на высокий класс его энергоэффективности, не попадает под категорию многоквартирных домов. Выводы судов с учетом установленных обстоятельств по делу соответствуют правовой позиции Судебной коллегии Верховного Суда Российской Федерации, изложенной в определении от 03.08.2018 № 309-КГ18-5076 по делу № А60-7484/2017. Доводы, изложенные в кассационной жалобе, в том числе о несогласии с начисленной суммой пени, являлись предметом рассмотрения судов и получили надлежащую правовую оценку. Несогласие заявителя с выводами судов, иная оценка им фактических обстоятельств дела и иное применение к ним положений закона не означают допущенной при рассмотрении дела судебной ошибки и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«Логистик Про»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