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города Ижевска в лице Управления земельных ресурсов и землеустройства (далее – Управление) обратилась в Арбитражный суд Удмуртской Республики с иском к обществу с ограниченной ответственностью «Престиж» (далее – Общество) о признании отсутствующим права собственности на объект «сооружения: ворота, ворота, забор» с кадастровым номером 18:26:032033:206, назначение: нежилое, площадью 48,2 кв. м, расположенный по адресу: Удмуртская Республика, г. Ижевск, Воткинское шоссе, 290а. К участию в деле в качестве третьего лица, не заявляющего самостоятельных требований относительно предмета спора, привлечено Министерство имущественных отношений Удмуртской Республики. Вступившим в законную силу решением Арбитражного суда Удмуртской Республики от 20.04.2018 исковые требования удовлетворены. Общество обратилось в арбитражный суд с заявление о пересмотре решения суда от 20.04.2018 по вновь открывшимся обстоятельствам. Определением Арбитражного суда Удмуртской Республики от 26.03.2019, оставленным без изменения постановлением Семнадцатого 2 арбитражного апелляционного суда от 05.07.2019 и постановлением Арбитражного суда Уральского округа от 01.10.2019, в удовлетворении заявления отказано. В кассационной жалобе, поданной в Верховный Суд Российской Федерации, заявитель просит отменить судебные акты об отказе в удовлетворении заявления о пересмотре судебного акта по вновь открывшимся обстоятельствам, ссылаясь на несоответствие выводов судов фактическим обстоятельствам дела. В обоснование доводов жалобы заявитель ссылается на экспертное заключение от 11.01.2019, в котором отражено, что спорный объект является недвижимым имуществом.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Кодекса. Согласно части 1 статьи 311 АПК РФ основаниями пересмотра судебных актов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дела. При этом перечень вновь открывшихся обстоятельств, установленных частью 2 статьи 311 АПК РФ, является исчерпывающим. Исследовав и оценив по правилам статьи 71 АПК РФ представленные доказательства, руководствуясь статьями 309, 311, 312 названного Кодекса и разъяснениями, изложенными в пунктах 3, 4, 5 постановления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обстоятельствам», суды отказали в удовлетворении заявления, правомерно исходя из того, что приведенные Обществом в обоснование заявления обстоятельства, являются новыми доказательствами. 3 Доводы кассационной жалобы не свидетельствуют о нарушении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«Престиж»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