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«Этель» обратилось в Арбитражный суд Республики Крым с иском о взыскании с общества с ограниченной ответственностью «Страховая медицинская компания «Крыммедстрах» 110 320 рублей стоимости оказанных медицинских услуг. К участию в деле в качестве третьего лица, не заявляющего самостоятельных требований относительно предмета спора привлечен Территориальный фонд обязательного медицинского страхования Республики Крым. Решением Арбитражного суда Республики Крым от 14.09.2019 в удовлетворении иска отказано. Постановлением Двадцать первого арбитражного апелляционного суда от 27.02.2017 решение суда первой инстанции оставлено без изменения. Арбитражный суд Центрального округа постановлением от 09.10.2019 указанные судебные акты отменил и направил дело на новое рассмотрение в Арбитражный суд Республики Крым. Общество с ограниченной ответственностью «Страховая медицинская компания «Крыммедстрах»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медицинская компания «Крыммедстрах»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