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19.03.2019, оставленным без изменения постановлением Девятого арбитражного апелляционного суда от 07.06.2019 и постановлением Арбитражного суда Московского округа от 16.09.2019,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 вывод налогового органа о занижении обществом налоговой базы в связи с неправомерным включением в состав расходов по налогу на прибыль затрат по взаимоотношениям с ООО «Промснабсервис» и ООО «Техностальсервис», а также необоснованным применением налоговых вычетов по налогу на добавленную стоимость на основании документов, выставленных от имени указанных контрагентов. Оценив представленные в материалы дела доказательства, суды, руководствуясь положениями статей 169 , 171 , 172 , 247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инспекции правовых оснований для принятия решения ввиду доказанности совокупности обстоятельств, свидетельствующих о направленности действий общества на получение необоснованной налоговой выгоды. Судебные инстанции исходили из того, что представленные по хозяйственным операциям первичные документы содержат противоречивые сведения и не подтверждают реальность хозяйственных операций общества с заявленными в них контрагентами, которые не обладали условиями, необходимыми для выполнения предусмотренных договорами обязательств, равно как и контрагенты второго звена. При этом общество не обосновало выбор данных организаций, созданных незадолго до заключения договоров и не осуществляющих реальной хозяйственной деятельности, в качестве деловых партнеров по многомиллионным сделкам. Доказательств ведения переговорного процесса и процесса выбора спорных контрагентов не представлено. Доводы, изложенные в кассационной жалобе, в том числе о неверном расчете подлежащего взысканию штрафа, являлись предметом рассмотрения судов и получили надлежащую правовую оценку с учетом установленных обстоятельств дела.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МеталлРесурс»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