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24.04.2019, оставленным без изменения постановлением Семнадцатого арбитражного апелляционного суда от 22.07.2019 и постановлением Арбитражного суда Уральского округа от 23.10.2019,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судами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официальном сайте 17.10.2018 размещены извещение и документация о проведении электронного аукциона на право заключения контракта на выполнение подрядных работ на объекте «Средняя общеобразовательная школа на 825 учащихся в м/р Сайгатский г. Чайковский, Пермский край». Согласно протоколу подведения итогов электронного аукциона заявки обществ «ИнтерСтрой» и «Спецстрой» соответствовали требованиям аукционной документации, победителем признан ООО «ИнтерСтрой», как участник, предложивший меньшую цену. В антимонопольный орган поступило обращение ООО «Финстрой» и назначена внеплановая проверка, по результатам которой составлен акт о выявлении в действиях аукционной комиссии нарушения требований пунктов 1, 2 части 6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и выдано предписание о необходимости аукционной комиссии отменить протокол подведения итогов электронного аукциона от 20.11.2018, повторно рассмотреть вторые части заявок, разместить соответствующую информацию на официальном сайте и представить в установленный срок в управление подтверждение исполнения предписания. Во исполнение предписания спорная закупка была отменена, проведено повторное рассмотрение заявок, победителем аукциона признано ООО «Спецстрой», с которым заключен государственный контракт. ООО «ИнтерСтрой» обратилось в антимонопольный орган с жалобой на действия аукционной комиссии, решением от 14.01.2019 жалоба общества признана необоснованной. Не согласившись с ненормативными актами управления, общество обратилось в арбитражный суд. Удовлетворяя заявленные требования, суды трех инстанций, оценив представленные в материалы дела доказательства, руководствуясь положениями Закона о контрактной системе,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 (далее - Постановление № 99), пришли к выводу о том, что оспоренные решение и предписание не соответствуют положениям действующего законодательства и нарушают права и законные интересы заявителя. Судебные инстанции исходили из формальности подхода антимонопольного органа при вынесении ненормативных актов, в результате чего заявка общества была необоснованно отклонена при повторном проведении аукциона. Судами указано, что Постановление № 99 не содержит требований о представлении участником в составе заявки на участие в аукционе проектной документации, формы банковской гарантии и плана - графика, в то время как доказательством наличия специфического опыта служит копия ранее исполненного контракта (договора), которая была представлена обществом с заявкой на участие в электронном аукционе.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