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07.02.2019, оставленным без изменения постановлением Девятого арбитражного апелляционного суда от 26.04.2019 и постановлением Арбитражного суда Московского округа от 26.048.2019, в удовлетворении иска отказано. В кассационной жалобе общество «Пожтехника» просит о пересмотре судебных актов, ссылаясь на неисполнение ответчиком требований контрактного законодательства о проверке первой части заявки и уклонение от урегулирования разногласий по условиям государственного контракта.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действиях лица на стороне заказчика в рамках ранее рассмотренных дел № А40-132436/2017 и № А40-193751/2017 и в пределах рассматриваемого дела не установлено нарушений, влекущих возврат обеспечения по правилам об убытках (15, 1064 Гражданского кодекса Российской Федерации).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«Пожтехника»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